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82" w:rsidRDefault="00887182" w:rsidP="00887182">
      <w:pPr>
        <w:pBdr>
          <w:bottom w:val="single" w:sz="4" w:space="1" w:color="auto"/>
        </w:pBdr>
        <w:spacing w:after="0" w:line="240" w:lineRule="auto"/>
        <w:jc w:val="center"/>
        <w:rPr>
          <w:rFonts w:ascii="Calibri Light" w:eastAsia="Times New Roman" w:hAnsi="Calibri Light" w:cs="Times New Roman"/>
          <w:smallCaps/>
          <w:sz w:val="32"/>
          <w:szCs w:val="40"/>
          <w:lang w:eastAsia="fr-CH"/>
        </w:rPr>
      </w:pPr>
      <w:r>
        <w:rPr>
          <w:rFonts w:ascii="Calibri Light" w:eastAsia="Times New Roman" w:hAnsi="Calibri Light" w:cs="Times New Roman"/>
          <w:smallCaps/>
          <w:sz w:val="32"/>
          <w:szCs w:val="40"/>
          <w:lang w:eastAsia="fr-CH"/>
        </w:rPr>
        <w:t xml:space="preserve">Conférence Franches Energies, 29 novembre 2018, </w:t>
      </w:r>
      <w:proofErr w:type="spellStart"/>
      <w:r>
        <w:rPr>
          <w:rFonts w:ascii="Calibri Light" w:eastAsia="Times New Roman" w:hAnsi="Calibri Light" w:cs="Times New Roman"/>
          <w:smallCaps/>
          <w:sz w:val="32"/>
          <w:szCs w:val="40"/>
          <w:lang w:eastAsia="fr-CH"/>
        </w:rPr>
        <w:t>Saignelégier</w:t>
      </w:r>
      <w:proofErr w:type="spellEnd"/>
    </w:p>
    <w:p w:rsidR="00887182" w:rsidRDefault="00887182" w:rsidP="00887182">
      <w:pPr>
        <w:pStyle w:val="Titre2"/>
        <w:rPr>
          <w:lang w:eastAsia="fr-CH"/>
        </w:rPr>
      </w:pPr>
      <w:r>
        <w:rPr>
          <w:lang w:eastAsia="fr-CH"/>
        </w:rPr>
        <w:t>Déroulement</w:t>
      </w:r>
    </w:p>
    <w:p w:rsidR="00887182" w:rsidRDefault="00887182" w:rsidP="00887182">
      <w:pPr>
        <w:pStyle w:val="Paragraphedeliste"/>
        <w:numPr>
          <w:ilvl w:val="0"/>
          <w:numId w:val="1"/>
        </w:numPr>
        <w:rPr>
          <w:lang w:eastAsia="fr-CH"/>
        </w:rPr>
      </w:pPr>
      <w:r>
        <w:rPr>
          <w:lang w:eastAsia="fr-CH"/>
        </w:rPr>
        <w:t>Trois parties : 15 minutes de présentation + 5 minutes de questions à chaud</w:t>
      </w:r>
    </w:p>
    <w:p w:rsidR="00887182" w:rsidRDefault="00887182" w:rsidP="00887182">
      <w:pPr>
        <w:pStyle w:val="Paragraphedeliste"/>
        <w:numPr>
          <w:ilvl w:val="0"/>
          <w:numId w:val="1"/>
        </w:numPr>
        <w:rPr>
          <w:lang w:eastAsia="fr-CH"/>
        </w:rPr>
      </w:pPr>
      <w:r>
        <w:rPr>
          <w:lang w:eastAsia="fr-CH"/>
        </w:rPr>
        <w:t>15 – 30 minutes de discussion</w:t>
      </w:r>
    </w:p>
    <w:p w:rsidR="00887182" w:rsidRDefault="00887182" w:rsidP="00887182">
      <w:pPr>
        <w:pStyle w:val="Paragraphedeliste"/>
        <w:numPr>
          <w:ilvl w:val="0"/>
          <w:numId w:val="1"/>
        </w:numPr>
        <w:rPr>
          <w:lang w:eastAsia="fr-CH"/>
        </w:rPr>
      </w:pPr>
      <w:r>
        <w:rPr>
          <w:lang w:eastAsia="fr-CH"/>
        </w:rPr>
        <w:t>Durée totale : env. 1h30</w:t>
      </w:r>
    </w:p>
    <w:p w:rsidR="00887182" w:rsidRDefault="00887182" w:rsidP="00887182">
      <w:pPr>
        <w:pStyle w:val="Titre2"/>
        <w:rPr>
          <w:rFonts w:eastAsia="Times New Roman"/>
          <w:lang w:eastAsia="fr-CH"/>
        </w:rPr>
      </w:pPr>
      <w:r>
        <w:rPr>
          <w:rFonts w:eastAsia="Times New Roman"/>
          <w:lang w:eastAsia="fr-CH"/>
        </w:rPr>
        <w:t>Plan de la présentation</w:t>
      </w:r>
    </w:p>
    <w:p w:rsidR="00887182" w:rsidRDefault="00887182" w:rsidP="00887182">
      <w:pPr>
        <w:rPr>
          <w:lang w:eastAsia="fr-CH"/>
        </w:rPr>
      </w:pPr>
      <w:r>
        <w:rPr>
          <w:b/>
          <w:lang w:eastAsia="fr-CH"/>
        </w:rPr>
        <w:t>Introduction</w:t>
      </w:r>
      <w:r>
        <w:rPr>
          <w:lang w:eastAsia="fr-CH"/>
        </w:rPr>
        <w:t> : les vecteurs d’énergie et leur noblesse</w:t>
      </w:r>
    </w:p>
    <w:p w:rsidR="00887182" w:rsidRDefault="00887182" w:rsidP="00887182">
      <w:pPr>
        <w:rPr>
          <w:b/>
          <w:lang w:eastAsia="fr-CH"/>
        </w:rPr>
      </w:pPr>
      <w:r>
        <w:rPr>
          <w:b/>
          <w:lang w:eastAsia="fr-CH"/>
        </w:rPr>
        <w:t xml:space="preserve">Partie I – La technique des réseaux </w:t>
      </w:r>
    </w:p>
    <w:p w:rsidR="00887182" w:rsidRDefault="00887182" w:rsidP="00887182">
      <w:pPr>
        <w:pStyle w:val="Paragraphedeliste"/>
        <w:numPr>
          <w:ilvl w:val="0"/>
          <w:numId w:val="1"/>
        </w:numPr>
        <w:rPr>
          <w:lang w:eastAsia="fr-CH"/>
        </w:rPr>
      </w:pPr>
      <w:r>
        <w:rPr>
          <w:lang w:eastAsia="fr-CH"/>
        </w:rPr>
        <w:t>Les niveaux de tension et la structure des réseaux (historique)</w:t>
      </w:r>
    </w:p>
    <w:p w:rsidR="00887182" w:rsidRDefault="00887182" w:rsidP="00887182">
      <w:pPr>
        <w:pStyle w:val="Paragraphedeliste"/>
        <w:numPr>
          <w:ilvl w:val="0"/>
          <w:numId w:val="1"/>
        </w:numPr>
        <w:rPr>
          <w:lang w:eastAsia="fr-CH"/>
        </w:rPr>
      </w:pPr>
      <w:r>
        <w:rPr>
          <w:lang w:eastAsia="fr-CH"/>
        </w:rPr>
        <w:t>La stabilité (bilan injection et soutirage) et la sécurité d’approvisionnement</w:t>
      </w:r>
    </w:p>
    <w:p w:rsidR="00887182" w:rsidRDefault="00887182" w:rsidP="00887182">
      <w:pPr>
        <w:pStyle w:val="Paragraphedeliste"/>
        <w:numPr>
          <w:ilvl w:val="0"/>
          <w:numId w:val="1"/>
        </w:numPr>
        <w:rPr>
          <w:lang w:eastAsia="fr-CH"/>
        </w:rPr>
      </w:pPr>
      <w:r>
        <w:rPr>
          <w:lang w:eastAsia="fr-CH"/>
        </w:rPr>
        <w:t>La planification</w:t>
      </w:r>
    </w:p>
    <w:p w:rsidR="00887182" w:rsidRDefault="00887182" w:rsidP="00887182">
      <w:pPr>
        <w:pStyle w:val="Paragraphedeliste"/>
        <w:numPr>
          <w:ilvl w:val="0"/>
          <w:numId w:val="1"/>
        </w:numPr>
        <w:rPr>
          <w:lang w:eastAsia="fr-CH"/>
        </w:rPr>
      </w:pPr>
      <w:r>
        <w:rPr>
          <w:lang w:eastAsia="fr-CH"/>
        </w:rPr>
        <w:t>Les challenges du futur</w:t>
      </w:r>
    </w:p>
    <w:p w:rsidR="00887182" w:rsidRDefault="00887182" w:rsidP="00887182">
      <w:pPr>
        <w:rPr>
          <w:b/>
          <w:lang w:eastAsia="fr-CH"/>
        </w:rPr>
      </w:pPr>
      <w:r>
        <w:rPr>
          <w:b/>
          <w:lang w:eastAsia="fr-CH"/>
        </w:rPr>
        <w:t>Partie II – Les acteurs majeurs</w:t>
      </w:r>
    </w:p>
    <w:p w:rsidR="00887182" w:rsidRDefault="00887182" w:rsidP="00887182">
      <w:pPr>
        <w:pStyle w:val="Paragraphedeliste"/>
        <w:numPr>
          <w:ilvl w:val="0"/>
          <w:numId w:val="1"/>
        </w:numPr>
        <w:rPr>
          <w:lang w:eastAsia="fr-CH"/>
        </w:rPr>
      </w:pPr>
      <w:r>
        <w:rPr>
          <w:lang w:eastAsia="fr-CH"/>
        </w:rPr>
        <w:t>Le consommateur final</w:t>
      </w:r>
    </w:p>
    <w:p w:rsidR="00887182" w:rsidRDefault="00887182" w:rsidP="00887182">
      <w:pPr>
        <w:pStyle w:val="Paragraphedeliste"/>
        <w:numPr>
          <w:ilvl w:val="0"/>
          <w:numId w:val="1"/>
        </w:numPr>
        <w:rPr>
          <w:lang w:eastAsia="fr-CH"/>
        </w:rPr>
      </w:pPr>
      <w:r>
        <w:rPr>
          <w:lang w:eastAsia="fr-CH"/>
        </w:rPr>
        <w:t>Les gestionnaires de réseau</w:t>
      </w:r>
    </w:p>
    <w:p w:rsidR="00887182" w:rsidRDefault="00887182" w:rsidP="00887182">
      <w:pPr>
        <w:pStyle w:val="Paragraphedeliste"/>
        <w:numPr>
          <w:ilvl w:val="0"/>
          <w:numId w:val="1"/>
        </w:numPr>
        <w:rPr>
          <w:lang w:eastAsia="fr-CH"/>
        </w:rPr>
      </w:pPr>
      <w:r>
        <w:rPr>
          <w:lang w:eastAsia="fr-CH"/>
        </w:rPr>
        <w:t>Le gestionnaire de réseau de transport (</w:t>
      </w:r>
      <w:proofErr w:type="spellStart"/>
      <w:r>
        <w:rPr>
          <w:lang w:eastAsia="fr-CH"/>
        </w:rPr>
        <w:t>Swissgrid</w:t>
      </w:r>
      <w:proofErr w:type="spellEnd"/>
      <w:r>
        <w:rPr>
          <w:lang w:eastAsia="fr-CH"/>
        </w:rPr>
        <w:t>) et l’ENTSO-E</w:t>
      </w:r>
    </w:p>
    <w:p w:rsidR="00887182" w:rsidRDefault="00887182" w:rsidP="00887182">
      <w:pPr>
        <w:pStyle w:val="Paragraphedeliste"/>
        <w:numPr>
          <w:ilvl w:val="0"/>
          <w:numId w:val="1"/>
        </w:numPr>
        <w:rPr>
          <w:lang w:eastAsia="fr-CH"/>
        </w:rPr>
      </w:pPr>
      <w:r>
        <w:rPr>
          <w:lang w:eastAsia="fr-CH"/>
        </w:rPr>
        <w:t>Cantons et communes</w:t>
      </w:r>
    </w:p>
    <w:p w:rsidR="00887182" w:rsidRDefault="00887182" w:rsidP="00887182">
      <w:pPr>
        <w:pStyle w:val="Paragraphedeliste"/>
        <w:numPr>
          <w:ilvl w:val="0"/>
          <w:numId w:val="1"/>
        </w:numPr>
        <w:rPr>
          <w:lang w:eastAsia="fr-CH"/>
        </w:rPr>
      </w:pPr>
      <w:r>
        <w:rPr>
          <w:lang w:eastAsia="fr-CH"/>
        </w:rPr>
        <w:t>Les fournisseurs</w:t>
      </w:r>
    </w:p>
    <w:p w:rsidR="00887182" w:rsidRDefault="00887182" w:rsidP="00887182">
      <w:pPr>
        <w:pStyle w:val="Paragraphedeliste"/>
        <w:numPr>
          <w:ilvl w:val="0"/>
          <w:numId w:val="1"/>
        </w:numPr>
        <w:rPr>
          <w:lang w:eastAsia="fr-CH"/>
        </w:rPr>
      </w:pPr>
      <w:r>
        <w:rPr>
          <w:lang w:eastAsia="fr-CH"/>
        </w:rPr>
        <w:t>La Commission fédérale de l’électricité (</w:t>
      </w:r>
      <w:proofErr w:type="spellStart"/>
      <w:r>
        <w:rPr>
          <w:lang w:eastAsia="fr-CH"/>
        </w:rPr>
        <w:t>ElCom</w:t>
      </w:r>
      <w:proofErr w:type="spellEnd"/>
      <w:r>
        <w:rPr>
          <w:lang w:eastAsia="fr-CH"/>
        </w:rPr>
        <w:t>) et l’Office fédéral de l’énergie (OFEN)</w:t>
      </w:r>
    </w:p>
    <w:p w:rsidR="00887182" w:rsidRDefault="00887182" w:rsidP="00887182">
      <w:pPr>
        <w:rPr>
          <w:b/>
          <w:lang w:eastAsia="fr-CH"/>
        </w:rPr>
      </w:pPr>
      <w:r>
        <w:rPr>
          <w:b/>
          <w:lang w:eastAsia="fr-CH"/>
        </w:rPr>
        <w:t>Partie III – La stratégie énergétique 2015</w:t>
      </w:r>
    </w:p>
    <w:p w:rsidR="00887182" w:rsidRDefault="00887182" w:rsidP="00887182">
      <w:pPr>
        <w:pStyle w:val="Paragraphedeliste"/>
        <w:numPr>
          <w:ilvl w:val="0"/>
          <w:numId w:val="1"/>
        </w:numPr>
        <w:rPr>
          <w:lang w:eastAsia="fr-CH"/>
        </w:rPr>
      </w:pPr>
      <w:r>
        <w:rPr>
          <w:lang w:eastAsia="fr-CH"/>
        </w:rPr>
        <w:t>Loi sur l’approvisionnement en électricité (</w:t>
      </w:r>
      <w:proofErr w:type="spellStart"/>
      <w:r>
        <w:rPr>
          <w:lang w:eastAsia="fr-CH"/>
        </w:rPr>
        <w:t>LApEl</w:t>
      </w:r>
      <w:proofErr w:type="spellEnd"/>
      <w:r>
        <w:rPr>
          <w:lang w:eastAsia="fr-CH"/>
        </w:rPr>
        <w:t>)</w:t>
      </w:r>
    </w:p>
    <w:p w:rsidR="00887182" w:rsidRDefault="00887182" w:rsidP="00887182">
      <w:pPr>
        <w:pStyle w:val="Paragraphedeliste"/>
        <w:numPr>
          <w:ilvl w:val="0"/>
          <w:numId w:val="1"/>
        </w:numPr>
        <w:rPr>
          <w:lang w:eastAsia="fr-CH"/>
        </w:rPr>
      </w:pPr>
      <w:r>
        <w:rPr>
          <w:lang w:eastAsia="fr-CH"/>
        </w:rPr>
        <w:t>Trois piliers (sortie du nucléaire, réduction de la consommation et augmentation du renouvelable).</w:t>
      </w:r>
    </w:p>
    <w:p w:rsidR="00887182" w:rsidRDefault="00887182" w:rsidP="00887182">
      <w:pPr>
        <w:pStyle w:val="Paragraphedeliste"/>
        <w:numPr>
          <w:ilvl w:val="0"/>
          <w:numId w:val="1"/>
        </w:numPr>
        <w:rPr>
          <w:lang w:eastAsia="fr-CH"/>
        </w:rPr>
      </w:pPr>
      <w:r>
        <w:rPr>
          <w:lang w:eastAsia="fr-CH"/>
        </w:rPr>
        <w:t>Ouverture du marché</w:t>
      </w:r>
    </w:p>
    <w:p w:rsidR="00887182" w:rsidRDefault="00887182" w:rsidP="00887182">
      <w:pPr>
        <w:pStyle w:val="Paragraphedeliste"/>
        <w:numPr>
          <w:ilvl w:val="0"/>
          <w:numId w:val="1"/>
        </w:numPr>
        <w:rPr>
          <w:lang w:eastAsia="fr-CH"/>
        </w:rPr>
      </w:pPr>
      <w:r>
        <w:rPr>
          <w:lang w:eastAsia="fr-CH"/>
        </w:rPr>
        <w:t>Sortie du nucléaire</w:t>
      </w:r>
    </w:p>
    <w:p w:rsidR="00887182" w:rsidRDefault="00887182" w:rsidP="00887182">
      <w:pPr>
        <w:pStyle w:val="Paragraphedeliste"/>
        <w:numPr>
          <w:ilvl w:val="0"/>
          <w:numId w:val="1"/>
        </w:numPr>
        <w:rPr>
          <w:lang w:eastAsia="fr-CH"/>
        </w:rPr>
      </w:pPr>
      <w:r>
        <w:rPr>
          <w:lang w:eastAsia="fr-CH"/>
        </w:rPr>
        <w:t>(Si le temps le permet : électromobilité et communautés de consommateur)</w:t>
      </w:r>
    </w:p>
    <w:p w:rsidR="00887182" w:rsidRDefault="00887182" w:rsidP="00887182">
      <w:pPr>
        <w:pStyle w:val="Titre2"/>
        <w:rPr>
          <w:lang w:eastAsia="fr-CH"/>
        </w:rPr>
      </w:pPr>
      <w:r>
        <w:rPr>
          <w:lang w:eastAsia="fr-CH"/>
        </w:rPr>
        <w:t>Résumé</w:t>
      </w:r>
    </w:p>
    <w:p w:rsidR="00887182" w:rsidRDefault="00887182" w:rsidP="00887182">
      <w:pPr>
        <w:jc w:val="both"/>
        <w:rPr>
          <w:lang w:eastAsia="fr-CH"/>
        </w:rPr>
      </w:pPr>
      <w:r>
        <w:rPr>
          <w:lang w:eastAsia="fr-CH"/>
        </w:rPr>
        <w:t xml:space="preserve">La transition énergétique est un enjeu majeur pour la pérennité de notre société. Elle implique un changement de modes de production et de consommation qui nécessite une adaptation des vecteurs énergétiques. Les réseaux électriques, construits de manière centralisée pour des raisons historiques, devront être adaptés à ces nouveaux types de sollicitation. </w:t>
      </w:r>
    </w:p>
    <w:p w:rsidR="00887182" w:rsidRDefault="00887182" w:rsidP="00887182">
      <w:pPr>
        <w:jc w:val="both"/>
        <w:rPr>
          <w:lang w:eastAsia="fr-CH"/>
        </w:rPr>
      </w:pPr>
      <w:r>
        <w:rPr>
          <w:lang w:eastAsia="fr-CH"/>
        </w:rPr>
        <w:t>Les questions de stabilité et de sécurité d’approvisionnement seront abordées dans cette conférence, et les rôles actuels des différents acteurs des réseaux électriques seront décortiqués (</w:t>
      </w:r>
      <w:proofErr w:type="spellStart"/>
      <w:r>
        <w:rPr>
          <w:lang w:eastAsia="fr-CH"/>
        </w:rPr>
        <w:t>Swissgrid</w:t>
      </w:r>
      <w:proofErr w:type="spellEnd"/>
      <w:r>
        <w:rPr>
          <w:lang w:eastAsia="fr-CH"/>
        </w:rPr>
        <w:t xml:space="preserve">, gestionnaires de réseau, </w:t>
      </w:r>
      <w:proofErr w:type="spellStart"/>
      <w:r>
        <w:rPr>
          <w:lang w:eastAsia="fr-CH"/>
        </w:rPr>
        <w:t>ElCom</w:t>
      </w:r>
      <w:proofErr w:type="spellEnd"/>
      <w:r>
        <w:rPr>
          <w:lang w:eastAsia="fr-CH"/>
        </w:rPr>
        <w:t xml:space="preserve">, OFEN, etc.). La stratégie énergétique 2050, avec son lot de questions encore ouvertes (planification de la sortie du nucléaire, effets de l’ouverture du marché), sera elle-aussi abordée dans le détail lors de cette rencontre.  </w:t>
      </w:r>
    </w:p>
    <w:p w:rsidR="00887182" w:rsidRDefault="00887182" w:rsidP="00887182">
      <w:pPr>
        <w:jc w:val="both"/>
        <w:rPr>
          <w:lang w:eastAsia="fr-CH"/>
        </w:rPr>
      </w:pPr>
      <w:r>
        <w:rPr>
          <w:lang w:eastAsia="fr-CH"/>
        </w:rPr>
        <w:t xml:space="preserve">Comment fonctionne un réseau électrique et quels sont les enjeux de la transition </w:t>
      </w:r>
      <w:proofErr w:type="gramStart"/>
      <w:r>
        <w:rPr>
          <w:lang w:eastAsia="fr-CH"/>
        </w:rPr>
        <w:t>énergétique?</w:t>
      </w:r>
      <w:proofErr w:type="gramEnd"/>
      <w:r>
        <w:rPr>
          <w:lang w:eastAsia="fr-CH"/>
        </w:rPr>
        <w:t xml:space="preserve"> Vous en saurez plus après cette conférence…</w:t>
      </w:r>
    </w:p>
    <w:p w:rsidR="00887182" w:rsidRDefault="00887182" w:rsidP="00887182">
      <w:pPr>
        <w:pStyle w:val="Titre2"/>
        <w:rPr>
          <w:lang w:eastAsia="fr-CH"/>
        </w:rPr>
      </w:pPr>
      <w:r>
        <w:rPr>
          <w:lang w:eastAsia="fr-CH"/>
        </w:rPr>
        <w:t>Conférencier</w:t>
      </w:r>
    </w:p>
    <w:p w:rsidR="00887182" w:rsidRDefault="00887182" w:rsidP="00887182">
      <w:pPr>
        <w:jc w:val="both"/>
        <w:rPr>
          <w:lang w:eastAsia="fr-CH"/>
        </w:rPr>
      </w:pPr>
      <w:r>
        <w:rPr>
          <w:lang w:eastAsia="fr-CH"/>
        </w:rPr>
        <w:t>Loïc Eggenschwiler, ingénieur actif dans différents projets de recherche appliquée financés par l’OFEN et certains gestionnaires de réseau (EOS Holding).</w:t>
      </w:r>
    </w:p>
    <w:p w:rsidR="00C27EA9" w:rsidRDefault="00C27EA9">
      <w:bookmarkStart w:id="0" w:name="_GoBack"/>
      <w:bookmarkEnd w:id="0"/>
    </w:p>
    <w:sectPr w:rsidR="00C27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93F80"/>
    <w:multiLevelType w:val="hybridMultilevel"/>
    <w:tmpl w:val="3BCC9512"/>
    <w:lvl w:ilvl="0" w:tplc="599AE34A">
      <w:start w:val="15"/>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82"/>
    <w:rsid w:val="00887182"/>
    <w:rsid w:val="00C27E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1C2D-5792-47B0-8CE0-26BD5AAC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182"/>
    <w:pPr>
      <w:spacing w:line="256" w:lineRule="auto"/>
    </w:pPr>
  </w:style>
  <w:style w:type="paragraph" w:styleId="Titre2">
    <w:name w:val="heading 2"/>
    <w:basedOn w:val="Normal"/>
    <w:next w:val="Normal"/>
    <w:link w:val="Titre2Car"/>
    <w:uiPriority w:val="9"/>
    <w:semiHidden/>
    <w:unhideWhenUsed/>
    <w:qFormat/>
    <w:rsid w:val="00887182"/>
    <w:pPr>
      <w:keepNext/>
      <w:keepLines/>
      <w:spacing w:before="40" w:after="0"/>
      <w:outlineLvl w:val="1"/>
    </w:pPr>
    <w:rPr>
      <w:rFonts w:asciiTheme="majorHAnsi" w:eastAsiaTheme="majorEastAsia" w:hAnsiTheme="majorHAnsi" w:cstheme="majorBidi"/>
      <w:smallCap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87182"/>
    <w:rPr>
      <w:rFonts w:asciiTheme="majorHAnsi" w:eastAsiaTheme="majorEastAsia" w:hAnsiTheme="majorHAnsi" w:cstheme="majorBidi"/>
      <w:smallCaps/>
      <w:color w:val="2F5496" w:themeColor="accent1" w:themeShade="BF"/>
      <w:sz w:val="26"/>
      <w:szCs w:val="26"/>
    </w:rPr>
  </w:style>
  <w:style w:type="paragraph" w:styleId="Paragraphedeliste">
    <w:name w:val="List Paragraph"/>
    <w:basedOn w:val="Normal"/>
    <w:uiPriority w:val="34"/>
    <w:qFormat/>
    <w:rsid w:val="0088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Maillard</dc:creator>
  <cp:keywords/>
  <dc:description/>
  <cp:lastModifiedBy>Maillard</cp:lastModifiedBy>
  <cp:revision>1</cp:revision>
  <dcterms:created xsi:type="dcterms:W3CDTF">2018-11-13T07:50:00Z</dcterms:created>
  <dcterms:modified xsi:type="dcterms:W3CDTF">2018-11-13T07:51:00Z</dcterms:modified>
</cp:coreProperties>
</file>